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F3" w:rsidRPr="009A5DF3" w:rsidRDefault="009A5DF3" w:rsidP="009A5DF3">
      <w:pPr>
        <w:jc w:val="both"/>
        <w:rPr>
          <w:rFonts w:cs="Times New Roman"/>
        </w:rPr>
      </w:pPr>
      <w:bookmarkStart w:id="0" w:name="_GoBack"/>
      <w:bookmarkEnd w:id="0"/>
      <w:r w:rsidRPr="009A5DF3">
        <w:rPr>
          <w:rFonts w:cs="Times New Roman"/>
        </w:rPr>
        <w:t xml:space="preserve">The table summarizes the </w:t>
      </w:r>
      <w:r>
        <w:rPr>
          <w:rFonts w:cs="Times New Roman"/>
          <w:u w:val="single"/>
        </w:rPr>
        <w:t>recommended list</w:t>
      </w:r>
      <w:r w:rsidRPr="009A5DF3">
        <w:rPr>
          <w:rFonts w:cs="Times New Roman"/>
        </w:rPr>
        <w:t xml:space="preserve"> </w:t>
      </w:r>
      <w:r>
        <w:rPr>
          <w:rFonts w:cs="Times New Roman"/>
        </w:rPr>
        <w:t xml:space="preserve">of </w:t>
      </w:r>
      <w:r w:rsidRPr="009A5DF3">
        <w:rPr>
          <w:rFonts w:cs="Times New Roman"/>
        </w:rPr>
        <w:t xml:space="preserve">indicators to monitor the implementation of the SRH </w:t>
      </w:r>
      <w:r w:rsidRPr="009A5DF3">
        <w:rPr>
          <w:rFonts w:cs="Times New Roman"/>
          <w:i/>
          <w:iCs/>
        </w:rPr>
        <w:t xml:space="preserve">Action Plan, </w:t>
      </w:r>
      <w:r w:rsidRPr="009A5DF3">
        <w:rPr>
          <w:rFonts w:cs="Times New Roman"/>
        </w:rPr>
        <w:t xml:space="preserve">along with their inclusion in the Global indicator framework for the Sustainable Development Goals, the UNECE Monitoring framework for the ICPD </w:t>
      </w:r>
      <w:proofErr w:type="spellStart"/>
      <w:r w:rsidRPr="009A5DF3">
        <w:rPr>
          <w:rFonts w:cs="Times New Roman"/>
        </w:rPr>
        <w:t>PoA</w:t>
      </w:r>
      <w:proofErr w:type="spellEnd"/>
      <w:r w:rsidRPr="009A5DF3">
        <w:rPr>
          <w:rFonts w:cs="Times New Roman"/>
        </w:rPr>
        <w:t xml:space="preserve"> beyond 2014, and the Monitoring framework for the Global Strategy for Women’s, Children’s and Adolescents’ Health (2016-2030).</w:t>
      </w:r>
    </w:p>
    <w:p w:rsidR="009A5DF3" w:rsidRDefault="009A5DF3" w:rsidP="009A5DF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36"/>
        <w:gridCol w:w="6158"/>
        <w:gridCol w:w="786"/>
        <w:gridCol w:w="1100"/>
        <w:gridCol w:w="581"/>
      </w:tblGrid>
      <w:tr w:rsidR="007777A9" w:rsidRPr="005174C8" w:rsidTr="009A5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7777A9" w:rsidP="005174C8">
            <w:pPr>
              <w:spacing w:before="40" w:after="40"/>
              <w:rPr>
                <w:rFonts w:cs="Times New Roman"/>
              </w:rPr>
            </w:pPr>
            <w:r w:rsidRPr="009A5DF3">
              <w:rPr>
                <w:rFonts w:cs="Times New Roman"/>
              </w:rPr>
              <w:t>#</w:t>
            </w:r>
          </w:p>
        </w:tc>
        <w:tc>
          <w:tcPr>
            <w:tcW w:w="6158" w:type="dxa"/>
          </w:tcPr>
          <w:p w:rsidR="007777A9" w:rsidRPr="009A5DF3" w:rsidRDefault="007777A9" w:rsidP="009A5DF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5DF3">
              <w:rPr>
                <w:rFonts w:cs="Times New Roman"/>
              </w:rPr>
              <w:t>Indicators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SDGs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ICPD+25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GS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Abortions per 1,000 live births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Acceptance of gender-based violence in the family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Adolescent birth rate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Antenatal care coverage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5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Antiretroviral therapy coverage among people living with HIV (%)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6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ART (</w:t>
            </w:r>
            <w:r w:rsidRPr="005174C8">
              <w:rPr>
                <w:rFonts w:cs="Times New Roman"/>
                <w:i/>
                <w:iCs/>
              </w:rPr>
              <w:t>assisted reproductive technology</w:t>
            </w:r>
            <w:r w:rsidRPr="005174C8">
              <w:rPr>
                <w:rFonts w:cs="Times New Roman"/>
              </w:rPr>
              <w:t>) is regulated by law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7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 xml:space="preserve">Avoidance of HIV services because of stigma and discrimination </w:t>
            </w:r>
            <w:r w:rsidR="005174C8">
              <w:rPr>
                <w:rFonts w:cs="Times New Roman"/>
              </w:rPr>
              <w:t xml:space="preserve"> a</w:t>
            </w:r>
            <w:r w:rsidRPr="005174C8">
              <w:rPr>
                <w:rFonts w:cs="Times New Roman"/>
              </w:rPr>
              <w:t>mong key populations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8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Cesarean sections as percentage of all live births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9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Cervical cancer screening coverage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10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Circumstances under which abortion is legal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11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Country has implemented the WHO EURO Action Plan for Sexual and Reproductive Health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12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Country includes HPV vaccination in its vaccination program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13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 of a national screening policy for (a) breast cancer, (b) cervical cancer, (c) prostate cancer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14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 of a referral system for holistic care for victims of sexual violence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15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 of an inter-/multi-/all-party parliamentary group on SRHR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16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 of laws and regulations that guarantee full and equal access to women and men aged 15</w:t>
            </w:r>
            <w:r w:rsidR="005174C8">
              <w:rPr>
                <w:rFonts w:cs="Times New Roman"/>
              </w:rPr>
              <w:t xml:space="preserve"> </w:t>
            </w:r>
            <w:r w:rsidRPr="005174C8">
              <w:rPr>
                <w:rFonts w:cs="Times New Roman"/>
              </w:rPr>
              <w:t>years and older to sexual and reproductive health care, information and education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17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 of laws and regulations that guarantee full and equal access to women and men aged 15-19</w:t>
            </w:r>
            <w:r w:rsidR="005174C8">
              <w:rPr>
                <w:rFonts w:cs="Times New Roman"/>
              </w:rPr>
              <w:t xml:space="preserve"> </w:t>
            </w:r>
            <w:r w:rsidRPr="005174C8">
              <w:rPr>
                <w:rFonts w:cs="Times New Roman"/>
              </w:rPr>
              <w:t>to sexual and reproductive health care, information and education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18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Existence, conditions and scope of public funding for ART services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19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HIV incidence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20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Human papilloma virus (HPV) vaccine coverage among adolescents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21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Incidence of gonococcal infection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22</w:t>
            </w:r>
          </w:p>
        </w:tc>
        <w:tc>
          <w:tcPr>
            <w:tcW w:w="6158" w:type="dxa"/>
          </w:tcPr>
          <w:p w:rsidR="007777A9" w:rsidRPr="005174C8" w:rsidRDefault="007777A9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Incidence of syphilis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23</w:t>
            </w:r>
          </w:p>
        </w:tc>
        <w:tc>
          <w:tcPr>
            <w:tcW w:w="6158" w:type="dxa"/>
          </w:tcPr>
          <w:p w:rsidR="007777A9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Involvement of CSO and the private sector in the development of national policies on SRH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777A9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7777A9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24</w:t>
            </w:r>
          </w:p>
        </w:tc>
        <w:tc>
          <w:tcPr>
            <w:tcW w:w="6158" w:type="dxa"/>
          </w:tcPr>
          <w:p w:rsidR="007777A9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Involvement of CSO and the private sector in the implementation of national policies on SRH</w:t>
            </w:r>
          </w:p>
        </w:tc>
        <w:tc>
          <w:tcPr>
            <w:tcW w:w="786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7777A9" w:rsidRPr="005174C8" w:rsidRDefault="007777A9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25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Legal frameworks are in place to promote, enforce and monitor equality and non-discrimination on the</w:t>
            </w:r>
            <w:r>
              <w:rPr>
                <w:rFonts w:cs="Times New Roman"/>
              </w:rPr>
              <w:t xml:space="preserve"> </w:t>
            </w:r>
            <w:r w:rsidRPr="005174C8">
              <w:rPr>
                <w:rFonts w:cs="Times New Roman"/>
              </w:rPr>
              <w:t>basis of sex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lastRenderedPageBreak/>
              <w:t>26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Maternal deaths attributed to abortion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27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Maternal mortality ratio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28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Mortality due to (a) breast cancer, (b) cervical cancer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29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Mortality due to prostate cancer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30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National policies guarantee access to essential SRH services for undocumented migrants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31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Neonatal mortality rate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32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 xml:space="preserve">Number of ART </w:t>
            </w:r>
            <w:proofErr w:type="spellStart"/>
            <w:r w:rsidRPr="005174C8">
              <w:rPr>
                <w:rFonts w:cs="Times New Roman"/>
              </w:rPr>
              <w:t>centres</w:t>
            </w:r>
            <w:proofErr w:type="spellEnd"/>
            <w:r w:rsidRPr="005174C8">
              <w:rPr>
                <w:rFonts w:cs="Times New Roman"/>
              </w:rPr>
              <w:t xml:space="preserve"> in the country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33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Number of ART cycles per million population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34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Postpartum care coverage for mothers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35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Prevalence of low birth weight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36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births attended by skilled health personnel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37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ever-partnered women and girls aged 15 years and older subjected to physical, sexual or psychological violence by a current or former intimate partner in the previous 12 months, by form of violence and by age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38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modern contraceptive methods use at first and last intercourse among 15-24 years old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39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people aged 15-24 years with basic knowledge of sexual and reproductive health and rights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40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primary health-care that provide essential SRH services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41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aged 15-19 who make their own informed decisions regarding sexual relations, contraceptive use and reproductive health care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(√)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42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aged 15-49 who make their own informed decisions regarding sexual relations,</w:t>
            </w:r>
          </w:p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contraceptive use and reproductive health care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43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aged 20-24 years who were married or in a union before age 15 and before age 18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44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and girls aged 15 years and older subjected to sexual violence by persons other than an intimate partner in the previous 12 months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45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and girls aged 15-49 who have undergone female genital mutilation/cutting (FGM/C), by age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46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women of reproductive age (15-49 years) who have their need for family planning satisfied with modern method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47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Proportion of young women and men aged 18-29 who experienced sexual violence by age 18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  <w:tr w:rsidR="005174C8" w:rsidRPr="005174C8" w:rsidTr="009A5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5174C8" w:rsidRPr="009A5DF3" w:rsidRDefault="009A5DF3" w:rsidP="005174C8">
            <w:pPr>
              <w:spacing w:before="40" w:after="40"/>
              <w:rPr>
                <w:rFonts w:cs="Times New Roman"/>
                <w:b w:val="0"/>
              </w:rPr>
            </w:pPr>
            <w:r w:rsidRPr="009A5DF3">
              <w:rPr>
                <w:rFonts w:cs="Times New Roman"/>
                <w:b w:val="0"/>
              </w:rPr>
              <w:t>48</w:t>
            </w:r>
          </w:p>
        </w:tc>
        <w:tc>
          <w:tcPr>
            <w:tcW w:w="6158" w:type="dxa"/>
          </w:tcPr>
          <w:p w:rsidR="005174C8" w:rsidRPr="005174C8" w:rsidRDefault="005174C8" w:rsidP="005174C8">
            <w:pPr>
              <w:autoSpaceDE w:val="0"/>
              <w:autoSpaceDN w:val="0"/>
              <w:adjustRightInd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Stillbirth rate</w:t>
            </w:r>
          </w:p>
        </w:tc>
        <w:tc>
          <w:tcPr>
            <w:tcW w:w="786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581" w:type="dxa"/>
          </w:tcPr>
          <w:p w:rsidR="005174C8" w:rsidRPr="005174C8" w:rsidRDefault="005174C8" w:rsidP="005174C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174C8">
              <w:rPr>
                <w:rFonts w:cs="Times New Roman"/>
              </w:rPr>
              <w:t>√</w:t>
            </w:r>
          </w:p>
        </w:tc>
      </w:tr>
    </w:tbl>
    <w:p w:rsidR="005174C8" w:rsidRPr="001B7CA1" w:rsidRDefault="005174C8" w:rsidP="005174C8">
      <w:pPr>
        <w:spacing w:before="120" w:after="120"/>
        <w:rPr>
          <w:rFonts w:cs="Times New Roman"/>
          <w:sz w:val="20"/>
          <w:szCs w:val="20"/>
        </w:rPr>
      </w:pPr>
      <w:r w:rsidRPr="001B7CA1">
        <w:rPr>
          <w:rFonts w:cs="Times New Roman"/>
          <w:b/>
          <w:bCs/>
          <w:sz w:val="20"/>
          <w:szCs w:val="20"/>
        </w:rPr>
        <w:t>SDGs</w:t>
      </w:r>
      <w:r w:rsidRPr="001B7CA1">
        <w:rPr>
          <w:rFonts w:cs="Times New Roman"/>
          <w:sz w:val="20"/>
          <w:szCs w:val="20"/>
        </w:rPr>
        <w:t xml:space="preserve">: Global indicator framework for the </w:t>
      </w:r>
      <w:r w:rsidRPr="001B7CA1">
        <w:rPr>
          <w:rFonts w:cs="Times New Roman"/>
          <w:b/>
          <w:sz w:val="20"/>
          <w:szCs w:val="20"/>
        </w:rPr>
        <w:t>Sustainable Development Goals</w:t>
      </w:r>
      <w:r w:rsidRPr="001B7CA1">
        <w:rPr>
          <w:rFonts w:cs="Times New Roman"/>
          <w:sz w:val="20"/>
          <w:szCs w:val="20"/>
        </w:rPr>
        <w:t>.</w:t>
      </w:r>
    </w:p>
    <w:p w:rsidR="005174C8" w:rsidRPr="001B7CA1" w:rsidRDefault="005174C8" w:rsidP="005174C8">
      <w:pPr>
        <w:spacing w:before="120" w:after="120"/>
        <w:rPr>
          <w:rFonts w:cs="Times New Roman"/>
          <w:sz w:val="20"/>
          <w:szCs w:val="20"/>
        </w:rPr>
      </w:pPr>
      <w:r w:rsidRPr="001B7CA1">
        <w:rPr>
          <w:rFonts w:cs="Times New Roman"/>
          <w:b/>
          <w:bCs/>
          <w:sz w:val="20"/>
          <w:szCs w:val="20"/>
        </w:rPr>
        <w:t>ICPD+25</w:t>
      </w:r>
      <w:r w:rsidRPr="001B7CA1">
        <w:rPr>
          <w:rFonts w:cs="Times New Roman"/>
          <w:sz w:val="20"/>
          <w:szCs w:val="20"/>
        </w:rPr>
        <w:t xml:space="preserve">: UNECE Monitoring framework for </w:t>
      </w:r>
      <w:r w:rsidRPr="001B7CA1">
        <w:rPr>
          <w:rFonts w:cs="Times New Roman"/>
          <w:b/>
          <w:sz w:val="20"/>
          <w:szCs w:val="20"/>
        </w:rPr>
        <w:t xml:space="preserve">the ICPD </w:t>
      </w:r>
      <w:proofErr w:type="spellStart"/>
      <w:r w:rsidRPr="001B7CA1">
        <w:rPr>
          <w:rFonts w:cs="Times New Roman"/>
          <w:b/>
          <w:sz w:val="20"/>
          <w:szCs w:val="20"/>
        </w:rPr>
        <w:t>PoA</w:t>
      </w:r>
      <w:proofErr w:type="spellEnd"/>
      <w:r w:rsidRPr="001B7CA1">
        <w:rPr>
          <w:rFonts w:cs="Times New Roman"/>
          <w:b/>
          <w:sz w:val="20"/>
          <w:szCs w:val="20"/>
        </w:rPr>
        <w:t xml:space="preserve"> beyond 2014</w:t>
      </w:r>
      <w:r w:rsidRPr="001B7CA1">
        <w:rPr>
          <w:rFonts w:cs="Times New Roman"/>
          <w:sz w:val="20"/>
          <w:szCs w:val="20"/>
        </w:rPr>
        <w:t>.</w:t>
      </w:r>
    </w:p>
    <w:p w:rsidR="005174C8" w:rsidRPr="001B7CA1" w:rsidRDefault="005174C8" w:rsidP="005174C8">
      <w:pPr>
        <w:spacing w:before="120" w:after="120"/>
        <w:rPr>
          <w:rFonts w:cs="Times New Roman"/>
          <w:sz w:val="20"/>
          <w:szCs w:val="20"/>
        </w:rPr>
      </w:pPr>
      <w:r w:rsidRPr="001B7CA1">
        <w:rPr>
          <w:rFonts w:cs="Times New Roman"/>
          <w:b/>
          <w:bCs/>
          <w:sz w:val="20"/>
          <w:szCs w:val="20"/>
        </w:rPr>
        <w:t>GS</w:t>
      </w:r>
      <w:r w:rsidRPr="001B7CA1">
        <w:rPr>
          <w:rFonts w:cs="Times New Roman"/>
          <w:sz w:val="20"/>
          <w:szCs w:val="20"/>
        </w:rPr>
        <w:t xml:space="preserve">: Monitoring framework for the </w:t>
      </w:r>
      <w:r w:rsidRPr="001B7CA1">
        <w:rPr>
          <w:rFonts w:cs="Times New Roman"/>
          <w:b/>
          <w:sz w:val="20"/>
          <w:szCs w:val="20"/>
        </w:rPr>
        <w:t>Global Strategy for Women’s, Children’s and Adolescents’ Health</w:t>
      </w:r>
      <w:r w:rsidRPr="001B7CA1">
        <w:rPr>
          <w:rFonts w:cs="Times New Roman"/>
          <w:sz w:val="20"/>
          <w:szCs w:val="20"/>
        </w:rPr>
        <w:t xml:space="preserve"> (2016-2030).</w:t>
      </w:r>
    </w:p>
    <w:p w:rsidR="005174C8" w:rsidRPr="001B7CA1" w:rsidRDefault="005174C8" w:rsidP="005174C8">
      <w:pPr>
        <w:spacing w:before="120" w:after="120"/>
        <w:rPr>
          <w:rFonts w:cs="Times New Roman"/>
          <w:sz w:val="20"/>
          <w:szCs w:val="20"/>
        </w:rPr>
      </w:pPr>
      <w:r w:rsidRPr="001B7CA1">
        <w:rPr>
          <w:rFonts w:cs="Times New Roman"/>
          <w:sz w:val="20"/>
          <w:szCs w:val="20"/>
        </w:rPr>
        <w:t>√: indicator is included in respective framework.</w:t>
      </w:r>
    </w:p>
    <w:p w:rsidR="005174C8" w:rsidRPr="001B7CA1" w:rsidRDefault="005174C8" w:rsidP="005174C8">
      <w:pPr>
        <w:spacing w:before="120" w:after="120"/>
        <w:rPr>
          <w:rFonts w:cs="Times New Roman"/>
          <w:sz w:val="20"/>
          <w:szCs w:val="20"/>
        </w:rPr>
      </w:pPr>
      <w:r w:rsidRPr="001B7CA1">
        <w:rPr>
          <w:rFonts w:cs="Times New Roman"/>
          <w:b/>
          <w:bCs/>
          <w:sz w:val="20"/>
          <w:szCs w:val="20"/>
        </w:rPr>
        <w:t>(</w:t>
      </w:r>
      <w:r w:rsidRPr="001B7CA1">
        <w:rPr>
          <w:rFonts w:cs="Times New Roman"/>
          <w:sz w:val="20"/>
          <w:szCs w:val="20"/>
        </w:rPr>
        <w:t>√</w:t>
      </w:r>
      <w:r w:rsidRPr="001B7CA1">
        <w:rPr>
          <w:rFonts w:cs="Times New Roman"/>
          <w:b/>
          <w:bCs/>
          <w:sz w:val="20"/>
          <w:szCs w:val="20"/>
        </w:rPr>
        <w:t>)</w:t>
      </w:r>
      <w:r w:rsidRPr="001B7CA1">
        <w:rPr>
          <w:rFonts w:cs="Times New Roman"/>
          <w:sz w:val="20"/>
          <w:szCs w:val="20"/>
        </w:rPr>
        <w:t>: indicator relates to an indicator that is included in respective framework.</w:t>
      </w:r>
    </w:p>
    <w:sectPr w:rsidR="005174C8" w:rsidRPr="001B7CA1" w:rsidSect="009A5DF3">
      <w:pgSz w:w="11907" w:h="16840" w:code="9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A9"/>
    <w:rsid w:val="001B7CA1"/>
    <w:rsid w:val="005174C8"/>
    <w:rsid w:val="007777A9"/>
    <w:rsid w:val="0096569B"/>
    <w:rsid w:val="009A5DF3"/>
    <w:rsid w:val="00C2259F"/>
    <w:rsid w:val="00D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1EA0-16A2-4BCA-84EE-D19EE928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C8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A5D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Mataradze</dc:creator>
  <cp:keywords/>
  <dc:description/>
  <cp:lastModifiedBy>Lela Bakradze</cp:lastModifiedBy>
  <cp:revision>2</cp:revision>
  <dcterms:created xsi:type="dcterms:W3CDTF">2019-07-22T09:26:00Z</dcterms:created>
  <dcterms:modified xsi:type="dcterms:W3CDTF">2019-07-22T09:26:00Z</dcterms:modified>
</cp:coreProperties>
</file>